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Pr="00F26260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F26260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2376AB" w:rsidRPr="00F26260">
        <w:rPr>
          <w:rFonts w:ascii="TH Niramit AS" w:hAnsi="TH Niramit AS" w:cs="TH Niramit AS"/>
          <w:b/>
          <w:bCs/>
          <w:sz w:val="36"/>
          <w:szCs w:val="36"/>
          <w:cs/>
        </w:rPr>
        <w:t>5</w:t>
      </w:r>
      <w:r w:rsidRPr="00F26260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2376AB" w:rsidRPr="00F26260">
        <w:rPr>
          <w:rFonts w:ascii="TH Niramit AS" w:hAnsi="TH Niramit AS" w:cs="TH Niramit AS"/>
          <w:b/>
          <w:bCs/>
          <w:sz w:val="36"/>
          <w:szCs w:val="36"/>
        </w:rPr>
        <w:t>Academic Staff</w:t>
      </w:r>
    </w:p>
    <w:p w:rsidR="0046131F" w:rsidRPr="00F26260" w:rsidRDefault="0046131F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F26260" w:rsidRDefault="002376AB" w:rsidP="00F2626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DB014D" w:rsidRPr="00F26260" w:rsidRDefault="00DB014D" w:rsidP="00DB014D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F26260">
        <w:rPr>
          <w:rFonts w:ascii="TH Niramit AS" w:hAnsi="TH Niramit AS" w:cs="TH Niramit AS"/>
          <w:sz w:val="32"/>
          <w:szCs w:val="32"/>
        </w:rPr>
        <w:t>PLO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ข้อมูลพื้นฐานของอาจารย์ผู้รับผิดชอบหลักสูตร มีดังนี้</w:t>
      </w:r>
    </w:p>
    <w:p w:rsidR="00AF79D8" w:rsidRPr="00F26260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AF79D8" w:rsidRPr="00F26260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AE5D0C" w:rsidRPr="00F26260">
        <w:rPr>
          <w:rFonts w:ascii="TH Niramit AS" w:hAnsi="TH Niramit AS" w:cs="TH Niramit AS"/>
          <w:sz w:val="32"/>
          <w:szCs w:val="32"/>
          <w:cs/>
        </w:rPr>
        <w:t>5</w:t>
      </w:r>
      <w:r w:rsidRPr="00F26260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3775"/>
        <w:gridCol w:w="893"/>
        <w:gridCol w:w="912"/>
        <w:gridCol w:w="911"/>
        <w:gridCol w:w="893"/>
        <w:gridCol w:w="824"/>
      </w:tblGrid>
      <w:tr w:rsidR="00AF79D8" w:rsidRPr="00F26260" w:rsidTr="00050B72">
        <w:trPr>
          <w:tblHeader/>
        </w:trPr>
        <w:tc>
          <w:tcPr>
            <w:tcW w:w="3775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</w:p>
        </w:tc>
        <w:tc>
          <w:tcPr>
            <w:tcW w:w="912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ผศ.</w:t>
            </w:r>
          </w:p>
        </w:tc>
        <w:tc>
          <w:tcPr>
            <w:tcW w:w="911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รศ.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ศ.</w:t>
            </w:r>
          </w:p>
        </w:tc>
        <w:tc>
          <w:tcPr>
            <w:tcW w:w="824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AF79D8" w:rsidRPr="00F26260" w:rsidTr="00050B72">
        <w:tc>
          <w:tcPr>
            <w:tcW w:w="3775" w:type="dxa"/>
          </w:tcPr>
          <w:p w:rsidR="00AF79D8" w:rsidRPr="00F26260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F26260" w:rsidTr="00050B72">
        <w:tc>
          <w:tcPr>
            <w:tcW w:w="3775" w:type="dxa"/>
          </w:tcPr>
          <w:p w:rsidR="00AF79D8" w:rsidRPr="00F26260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11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F26260" w:rsidTr="00050B72">
        <w:tc>
          <w:tcPr>
            <w:tcW w:w="3775" w:type="dxa"/>
          </w:tcPr>
          <w:p w:rsidR="00AF79D8" w:rsidRPr="00F26260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F26260" w:rsidRDefault="000E4072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911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F26260" w:rsidRDefault="000E4072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2</w:t>
            </w:r>
          </w:p>
        </w:tc>
      </w:tr>
      <w:tr w:rsidR="00AF79D8" w:rsidRPr="00F26260" w:rsidTr="00050B72">
        <w:tc>
          <w:tcPr>
            <w:tcW w:w="3775" w:type="dxa"/>
          </w:tcPr>
          <w:p w:rsidR="00AF79D8" w:rsidRPr="00F26260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F26260" w:rsidRDefault="000E4072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911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F26260" w:rsidRDefault="000E4072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sz w:val="30"/>
                <w:szCs w:val="30"/>
                <w:cs/>
              </w:rPr>
              <w:t>1</w:t>
            </w:r>
          </w:p>
        </w:tc>
      </w:tr>
      <w:tr w:rsidR="00AF79D8" w:rsidRPr="00F26260" w:rsidTr="00050B72">
        <w:tc>
          <w:tcPr>
            <w:tcW w:w="3775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F26260" w:rsidRDefault="005A7A00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F26260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F26260" w:rsidRDefault="005A7A00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</w:tr>
    </w:tbl>
    <w:p w:rsidR="00AF79D8" w:rsidRPr="00F26260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F26260">
        <w:rPr>
          <w:rFonts w:ascii="TH Niramit AS" w:hAnsi="TH Niramit AS" w:cs="TH Niramit AS"/>
          <w:sz w:val="28"/>
          <w:cs/>
        </w:rPr>
        <w:t xml:space="preserve">*หมายเหตุ : ข้อมูลบุคลากรสายวิชาการของหลักสูตรที่เป็นอาจารย์ผู้รับผิดชอบหลักสูตรจำนวน </w:t>
      </w:r>
      <w:r w:rsidR="005A7A00" w:rsidRPr="00F26260">
        <w:rPr>
          <w:rFonts w:ascii="TH Niramit AS" w:hAnsi="TH Niramit AS" w:cs="TH Niramit AS"/>
          <w:sz w:val="28"/>
          <w:cs/>
        </w:rPr>
        <w:t>3</w:t>
      </w:r>
      <w:r w:rsidRPr="00F26260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F26260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DB014D" w:rsidRPr="00F26260" w:rsidRDefault="00DB014D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:rsidR="00DB014D" w:rsidRPr="00F26260" w:rsidRDefault="00DB014D" w:rsidP="00DB014D">
      <w:pPr>
        <w:spacing w:after="0" w:line="240" w:lineRule="auto"/>
        <w:ind w:firstLine="85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1. ระบบการกำหนดภาระงานและแรงจูงใน</w:t>
      </w:r>
    </w:p>
    <w:p w:rsidR="00DB014D" w:rsidRPr="00F26260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-  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:rsidR="00DB014D" w:rsidRPr="00F26260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-  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F26260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F26260">
        <w:rPr>
          <w:rFonts w:ascii="TH Niramit AS" w:hAnsi="TH Niramit AS" w:cs="TH Niramit AS"/>
          <w:sz w:val="32"/>
          <w:szCs w:val="32"/>
        </w:rPr>
        <w:t>TOR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:rsidR="00DB014D" w:rsidRPr="00F26260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F26260">
        <w:rPr>
          <w:rFonts w:ascii="TH Niramit AS" w:hAnsi="TH Niramit AS" w:cs="TH Niramit AS"/>
          <w:sz w:val="32"/>
          <w:szCs w:val="32"/>
          <w:cs/>
        </w:rPr>
        <w:tab/>
        <w:t>-  การพัฒนาความก้าวหน้าในอาชีพ (</w:t>
      </w:r>
      <w:r w:rsidRPr="00F26260">
        <w:rPr>
          <w:rFonts w:ascii="TH Niramit AS" w:hAnsi="TH Niramit AS" w:cs="TH Niramit AS"/>
          <w:sz w:val="32"/>
          <w:szCs w:val="32"/>
        </w:rPr>
        <w:t>Promotion</w:t>
      </w:r>
      <w:r w:rsidRPr="00F26260">
        <w:rPr>
          <w:rFonts w:ascii="TH Niramit AS" w:hAnsi="TH Niramit AS" w:cs="TH Niramit AS"/>
          <w:sz w:val="32"/>
          <w:szCs w:val="32"/>
          <w:cs/>
        </w:rPr>
        <w:t>) 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(</w:t>
      </w: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:rsidR="00DB014D" w:rsidRPr="00F26260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2. ระบบการยกย่องและธำรงรักษาอย่างมีประสิทธิภาพ</w:t>
      </w:r>
    </w:p>
    <w:p w:rsidR="00DB014D" w:rsidRPr="00F26260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:rsidR="00DB014D" w:rsidRPr="00F26260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3. ระบบในการลาออก และการเกษียณอายุ</w:t>
      </w:r>
    </w:p>
    <w:p w:rsidR="00DB014D" w:rsidRPr="00F26260" w:rsidRDefault="00DB014D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</w:t>
      </w:r>
      <w:r w:rsidR="00BD7AEE" w:rsidRPr="00F26260">
        <w:rPr>
          <w:rFonts w:ascii="TH Niramit AS" w:hAnsi="TH Niramit AS" w:cs="TH Niramit AS"/>
          <w:sz w:val="32"/>
          <w:szCs w:val="32"/>
          <w:cs/>
        </w:rPr>
        <w:t>อาจารย์ใหม่ หากมีอาจารย์ลากออก เกษียณอายุ สามารถแสดงอัตราการคงอยู่ของอาจารย์ ดังนี้</w:t>
      </w:r>
    </w:p>
    <w:p w:rsidR="004562B1" w:rsidRPr="00F26260" w:rsidRDefault="004562B1" w:rsidP="004562B1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 xml:space="preserve">ตารางแสดงจำนวนบุคลากรสายวิชาการของหลักสูตรในรอบ 5 ปี  ตั้งแต่ ปี </w:t>
      </w:r>
      <w:r w:rsidR="00D74BAF" w:rsidRPr="00F26260">
        <w:rPr>
          <w:rFonts w:ascii="TH Niramit AS" w:hAnsi="TH Niramit AS" w:cs="TH Niramit AS"/>
          <w:sz w:val="32"/>
          <w:szCs w:val="32"/>
          <w:cs/>
        </w:rPr>
        <w:t>256</w:t>
      </w:r>
      <w:r w:rsidR="005F0239" w:rsidRPr="00F26260">
        <w:rPr>
          <w:rFonts w:ascii="TH Niramit AS" w:hAnsi="TH Niramit AS" w:cs="TH Niramit AS"/>
          <w:sz w:val="32"/>
          <w:szCs w:val="32"/>
          <w:cs/>
        </w:rPr>
        <w:t>1</w:t>
      </w:r>
      <w:r w:rsidR="00D74BAF" w:rsidRPr="00F26260">
        <w:rPr>
          <w:rFonts w:ascii="TH Niramit AS" w:hAnsi="TH Niramit AS" w:cs="TH Niramit AS"/>
          <w:sz w:val="32"/>
          <w:szCs w:val="32"/>
          <w:cs/>
        </w:rPr>
        <w:t>-256</w:t>
      </w:r>
      <w:r w:rsidR="00090AD9" w:rsidRPr="00F26260">
        <w:rPr>
          <w:rFonts w:ascii="TH Niramit AS" w:hAnsi="TH Niramit AS" w:cs="TH Niramit AS"/>
          <w:sz w:val="32"/>
          <w:szCs w:val="32"/>
          <w:cs/>
        </w:rPr>
        <w:t>5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Style w:val="TableGrid"/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5F0239" w:rsidRPr="00F26260" w:rsidTr="005F0239">
        <w:trPr>
          <w:jc w:val="center"/>
        </w:trPr>
        <w:tc>
          <w:tcPr>
            <w:tcW w:w="1461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2564</w:t>
            </w:r>
          </w:p>
        </w:tc>
        <w:tc>
          <w:tcPr>
            <w:tcW w:w="1400" w:type="dxa"/>
            <w:gridSpan w:val="2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2565</w:t>
            </w:r>
          </w:p>
        </w:tc>
      </w:tr>
      <w:tr w:rsidR="005F0239" w:rsidRPr="00F26260" w:rsidTr="005F0239">
        <w:trPr>
          <w:trHeight w:val="393"/>
          <w:jc w:val="center"/>
        </w:trPr>
        <w:tc>
          <w:tcPr>
            <w:tcW w:w="1461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25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812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</w:tr>
      <w:tr w:rsidR="005F0239" w:rsidRPr="00F26260" w:rsidTr="005F0239">
        <w:trPr>
          <w:jc w:val="center"/>
        </w:trPr>
        <w:tc>
          <w:tcPr>
            <w:tcW w:w="1461" w:type="dxa"/>
          </w:tcPr>
          <w:p w:rsidR="005F0239" w:rsidRPr="00F26260" w:rsidRDefault="005F0239" w:rsidP="005F023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93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F26260" w:rsidTr="005F0239">
        <w:trPr>
          <w:jc w:val="center"/>
        </w:trPr>
        <w:tc>
          <w:tcPr>
            <w:tcW w:w="1461" w:type="dxa"/>
          </w:tcPr>
          <w:p w:rsidR="005F0239" w:rsidRPr="00F26260" w:rsidRDefault="005F0239" w:rsidP="005F023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F26260" w:rsidRDefault="000E407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F26260" w:rsidRDefault="000E407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F26260" w:rsidTr="005F0239">
        <w:trPr>
          <w:jc w:val="center"/>
        </w:trPr>
        <w:tc>
          <w:tcPr>
            <w:tcW w:w="1461" w:type="dxa"/>
          </w:tcPr>
          <w:p w:rsidR="005F0239" w:rsidRPr="00F26260" w:rsidRDefault="005F0239" w:rsidP="005F023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F26260" w:rsidRDefault="000E407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F26260" w:rsidRDefault="000E4072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F26260" w:rsidTr="005F0239">
        <w:trPr>
          <w:jc w:val="center"/>
        </w:trPr>
        <w:tc>
          <w:tcPr>
            <w:tcW w:w="1461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F26260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F26260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F79D8" w:rsidRPr="00F26260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F26260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</w:p>
    <w:p w:rsidR="00AF79D8" w:rsidRPr="00F26260" w:rsidRDefault="00AF79D8" w:rsidP="00AF79D8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F26260">
        <w:rPr>
          <w:rFonts w:ascii="TH Niramit AS" w:hAnsi="TH Niramit AS" w:cs="TH Niramit AS"/>
          <w:sz w:val="28"/>
          <w:cs/>
        </w:rPr>
        <w:t xml:space="preserve">จำนวน </w:t>
      </w:r>
      <w:r w:rsidR="00090AD9" w:rsidRPr="00F26260">
        <w:rPr>
          <w:rFonts w:ascii="TH Niramit AS" w:hAnsi="TH Niramit AS" w:cs="TH Niramit AS"/>
          <w:sz w:val="28"/>
          <w:cs/>
        </w:rPr>
        <w:t>5</w:t>
      </w:r>
      <w:r w:rsidRPr="00F26260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F26260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F26260" w:rsidRDefault="009F75F8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ab/>
      </w:r>
      <w:r w:rsidR="00BD7AEE" w:rsidRPr="00F26260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หลักสูตรมีการวางแผนรวมถึงระบบและกลไกของการวางแผนอัตรากำลัง การรักษา การสร้างแรงจูงใจ แผนการรับ แผนการเกษียณ ของบุคลากรสายวิชาการในระยะยาวและระยะสั้น และ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="00BD7AEE" w:rsidRPr="00F26260">
        <w:rPr>
          <w:rFonts w:ascii="TH Niramit AS" w:hAnsi="TH Niramit AS" w:cs="TH Niramit AS"/>
          <w:sz w:val="32"/>
          <w:szCs w:val="32"/>
        </w:rPr>
        <w:t>PLO</w:t>
      </w:r>
      <w:r w:rsidR="00BD7AEE" w:rsidRPr="00F26260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</w:p>
    <w:p w:rsidR="004D175F" w:rsidRPr="00F26260" w:rsidRDefault="009F75F8" w:rsidP="00DF3A1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</w:r>
    </w:p>
    <w:p w:rsidR="002376AB" w:rsidRPr="00F26260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2055E5" w:rsidRPr="00F26260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F26260" w:rsidRDefault="002055E5" w:rsidP="002055E5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F26260">
        <w:rPr>
          <w:rFonts w:ascii="TH Niramit AS" w:eastAsia="Calibri" w:hAnsi="TH Niramit AS" w:cs="TH Niramit AS"/>
          <w:sz w:val="32"/>
          <w:szCs w:val="32"/>
          <w:cs/>
        </w:rPr>
        <w:tab/>
        <w:t>ตารางแสดงข้อมูลอาจารย์ในระดับหลักสูตร (ปีการศึกษา 256</w:t>
      </w:r>
      <w:r w:rsidR="00090AD9" w:rsidRPr="00F26260">
        <w:rPr>
          <w:rFonts w:ascii="TH Niramit AS" w:eastAsia="Calibri" w:hAnsi="TH Niramit AS" w:cs="TH Niramit AS"/>
          <w:sz w:val="32"/>
          <w:szCs w:val="32"/>
          <w:cs/>
        </w:rPr>
        <w:t>5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710"/>
        <w:gridCol w:w="700"/>
        <w:gridCol w:w="807"/>
        <w:gridCol w:w="1096"/>
        <w:gridCol w:w="1556"/>
        <w:gridCol w:w="2070"/>
      </w:tblGrid>
      <w:tr w:rsidR="002055E5" w:rsidRPr="00F26260" w:rsidTr="00050B72">
        <w:tc>
          <w:tcPr>
            <w:tcW w:w="2082" w:type="dxa"/>
            <w:vMerge w:val="restart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26260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2055E5" w:rsidRPr="00F26260" w:rsidTr="00050B72">
        <w:tc>
          <w:tcPr>
            <w:tcW w:w="2082" w:type="dxa"/>
            <w:vMerge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F26260" w:rsidTr="00050B72">
        <w:tc>
          <w:tcPr>
            <w:tcW w:w="2082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F26260" w:rsidTr="00050B72">
        <w:tc>
          <w:tcPr>
            <w:tcW w:w="2082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1098" w:type="dxa"/>
          </w:tcPr>
          <w:p w:rsidR="00B073B0" w:rsidRPr="00F26260" w:rsidRDefault="000E4072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0.5</w:t>
            </w:r>
          </w:p>
        </w:tc>
        <w:tc>
          <w:tcPr>
            <w:tcW w:w="1559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2075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F26260" w:rsidTr="00050B72">
        <w:tc>
          <w:tcPr>
            <w:tcW w:w="2082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4</w:t>
            </w:r>
          </w:p>
        </w:tc>
        <w:tc>
          <w:tcPr>
            <w:tcW w:w="700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:rsidR="002055E5" w:rsidRPr="00F26260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:rsidR="002055E5" w:rsidRPr="00F26260" w:rsidRDefault="000E4072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</w:t>
            </w:r>
          </w:p>
        </w:tc>
        <w:tc>
          <w:tcPr>
            <w:tcW w:w="1559" w:type="dxa"/>
          </w:tcPr>
          <w:p w:rsidR="002055E5" w:rsidRPr="00F26260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2075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F26260" w:rsidTr="00050B72">
        <w:tc>
          <w:tcPr>
            <w:tcW w:w="2082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CB5920" w:rsidRPr="00F26260" w:rsidRDefault="00CB5920" w:rsidP="00CB59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F26260" w:rsidTr="00050B72">
        <w:tc>
          <w:tcPr>
            <w:tcW w:w="2082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700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098" w:type="dxa"/>
          </w:tcPr>
          <w:p w:rsidR="00B073B0" w:rsidRPr="00F26260" w:rsidRDefault="005A7A00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3.</w:t>
            </w:r>
            <w:r w:rsidR="000E4072"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559" w:type="dxa"/>
          </w:tcPr>
          <w:p w:rsidR="00D80B30" w:rsidRPr="00F26260" w:rsidRDefault="005A7A00" w:rsidP="00056F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  <w:p w:rsidR="002055E5" w:rsidRPr="00F26260" w:rsidRDefault="00D80B30" w:rsidP="00E279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="002055E5"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(ร้อยละ</w:t>
            </w:r>
            <w:r w:rsidR="00E2798C"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100</w:t>
            </w:r>
            <w:r w:rsidR="002055E5" w:rsidRPr="00F26260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:rsidR="002055E5" w:rsidRPr="00F26260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F26260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 w:rsidR="00090AD9" w:rsidRPr="00F26260">
        <w:rPr>
          <w:rFonts w:ascii="TH Niramit AS" w:hAnsi="TH Niramit AS" w:cs="TH Niramit AS"/>
          <w:sz w:val="28"/>
          <w:cs/>
        </w:rPr>
        <w:t>เศรษฐศาสตร์</w:t>
      </w:r>
    </w:p>
    <w:p w:rsidR="002055E5" w:rsidRPr="00F26260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F26260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F26260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F26260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F26260">
        <w:rPr>
          <w:rFonts w:ascii="TH Niramit AS" w:eastAsia="Calibri" w:hAnsi="TH Niramit AS" w:cs="TH Niramit AS"/>
          <w:sz w:val="32"/>
          <w:szCs w:val="32"/>
        </w:rPr>
        <w:t>Staff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F26260">
        <w:rPr>
          <w:rFonts w:ascii="TH Niramit AS" w:eastAsia="Calibri" w:hAnsi="TH Niramit AS" w:cs="TH Niramit AS"/>
          <w:sz w:val="32"/>
          <w:szCs w:val="32"/>
        </w:rPr>
        <w:t>to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F26260">
        <w:rPr>
          <w:rFonts w:ascii="TH Niramit AS" w:eastAsia="Calibri" w:hAnsi="TH Niramit AS" w:cs="TH Niramit AS"/>
          <w:sz w:val="32"/>
          <w:szCs w:val="32"/>
        </w:rPr>
        <w:t>student Ratio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055E5" w:rsidRPr="00F26260" w:rsidTr="00050B72">
        <w:tc>
          <w:tcPr>
            <w:tcW w:w="1242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:rsidR="002055E5" w:rsidRPr="00F26260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2E7173" w:rsidRPr="00F26260" w:rsidTr="00050B72">
        <w:tc>
          <w:tcPr>
            <w:tcW w:w="1242" w:type="dxa"/>
          </w:tcPr>
          <w:p w:rsidR="002E7173" w:rsidRPr="00F26260" w:rsidRDefault="002E717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:rsidR="002E7173" w:rsidRPr="00F26260" w:rsidRDefault="00B75527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</w:t>
            </w:r>
            <w:r w:rsidR="000E4072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2570" w:type="dxa"/>
          </w:tcPr>
          <w:p w:rsidR="002E7173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9</w:t>
            </w:r>
          </w:p>
        </w:tc>
        <w:tc>
          <w:tcPr>
            <w:tcW w:w="2658" w:type="dxa"/>
          </w:tcPr>
          <w:p w:rsidR="002E7173" w:rsidRPr="00F26260" w:rsidRDefault="00CD0A7C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r w:rsidR="00CD297A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0E4072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7.33</w:t>
            </w:r>
          </w:p>
        </w:tc>
      </w:tr>
      <w:tr w:rsidR="00001102" w:rsidRPr="00F26260" w:rsidTr="00050B72">
        <w:tc>
          <w:tcPr>
            <w:tcW w:w="1242" w:type="dxa"/>
          </w:tcPr>
          <w:p w:rsidR="002055E5" w:rsidRPr="00F26260" w:rsidRDefault="0000110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:rsidR="002055E5" w:rsidRPr="00F26260" w:rsidRDefault="00B75527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</w:t>
            </w:r>
            <w:r w:rsidR="000E4072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</w:t>
            </w:r>
          </w:p>
        </w:tc>
        <w:tc>
          <w:tcPr>
            <w:tcW w:w="2570" w:type="dxa"/>
          </w:tcPr>
          <w:p w:rsidR="002055E5" w:rsidRPr="00F26260" w:rsidRDefault="000E407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13</w:t>
            </w:r>
          </w:p>
        </w:tc>
        <w:tc>
          <w:tcPr>
            <w:tcW w:w="2658" w:type="dxa"/>
          </w:tcPr>
          <w:p w:rsidR="002055E5" w:rsidRPr="00F26260" w:rsidRDefault="001D601C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0E4072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4.00</w:t>
            </w:r>
          </w:p>
        </w:tc>
      </w:tr>
      <w:tr w:rsidR="00040AF8" w:rsidRPr="00F26260" w:rsidTr="00050B72">
        <w:tc>
          <w:tcPr>
            <w:tcW w:w="1242" w:type="dxa"/>
          </w:tcPr>
          <w:p w:rsidR="00040AF8" w:rsidRPr="00F26260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:rsidR="00040AF8" w:rsidRPr="00F26260" w:rsidRDefault="00B75527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</w:t>
            </w:r>
            <w:r w:rsidR="000E4072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00</w:t>
            </w:r>
          </w:p>
        </w:tc>
        <w:tc>
          <w:tcPr>
            <w:tcW w:w="2570" w:type="dxa"/>
          </w:tcPr>
          <w:p w:rsidR="00040AF8" w:rsidRPr="00F26260" w:rsidRDefault="000E4072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16</w:t>
            </w:r>
          </w:p>
        </w:tc>
        <w:tc>
          <w:tcPr>
            <w:tcW w:w="2658" w:type="dxa"/>
          </w:tcPr>
          <w:p w:rsidR="00040AF8" w:rsidRPr="00F26260" w:rsidRDefault="00040AF8" w:rsidP="000E40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0E4072"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5.33</w:t>
            </w:r>
          </w:p>
        </w:tc>
      </w:tr>
      <w:tr w:rsidR="00040AF8" w:rsidRPr="00F26260" w:rsidTr="00050B72">
        <w:tc>
          <w:tcPr>
            <w:tcW w:w="1242" w:type="dxa"/>
          </w:tcPr>
          <w:p w:rsidR="00040AF8" w:rsidRPr="00F26260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:rsidR="00040AF8" w:rsidRPr="00F26260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40AF8" w:rsidRPr="00F26260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40AF8" w:rsidRPr="00F26260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  <w:tr w:rsidR="00001102" w:rsidRPr="00F26260" w:rsidTr="00050B72">
        <w:tc>
          <w:tcPr>
            <w:tcW w:w="1242" w:type="dxa"/>
          </w:tcPr>
          <w:p w:rsidR="00001102" w:rsidRPr="00F26260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2561</w:t>
            </w:r>
          </w:p>
        </w:tc>
        <w:tc>
          <w:tcPr>
            <w:tcW w:w="2533" w:type="dxa"/>
          </w:tcPr>
          <w:p w:rsidR="00001102" w:rsidRPr="00F26260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01102" w:rsidRPr="00F26260" w:rsidRDefault="00040AF8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01102" w:rsidRPr="00F26260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:rsidR="002055E5" w:rsidRPr="00F26260" w:rsidRDefault="002055E5" w:rsidP="002055E5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F26260">
        <w:rPr>
          <w:rFonts w:ascii="TH Niramit AS" w:hAnsi="TH Niramit AS" w:cs="TH Niramit AS"/>
          <w:sz w:val="28"/>
          <w:cs/>
        </w:rPr>
        <w:t xml:space="preserve">*ที่มา : </w:t>
      </w:r>
      <w:r w:rsidR="009F75F8" w:rsidRPr="00F26260">
        <w:rPr>
          <w:rFonts w:ascii="TH Niramit AS" w:hAnsi="TH Niramit AS" w:cs="TH Niramit AS"/>
        </w:rPr>
        <w:fldChar w:fldCharType="begin"/>
      </w:r>
      <w:r w:rsidR="009F75F8" w:rsidRPr="00F26260">
        <w:rPr>
          <w:rFonts w:ascii="TH Niramit AS" w:hAnsi="TH Niramit AS" w:cs="TH Niramit AS"/>
        </w:rPr>
        <w:instrText xml:space="preserve"> HYPERLINK </w:instrText>
      </w:r>
      <w:r w:rsidR="009F75F8" w:rsidRPr="00F26260">
        <w:rPr>
          <w:rFonts w:ascii="TH Niramit AS" w:hAnsi="TH Niramit AS" w:cs="TH Niramit AS"/>
          <w:szCs w:val="22"/>
          <w:cs/>
        </w:rPr>
        <w:instrText>"</w:instrText>
      </w:r>
      <w:r w:rsidR="009F75F8" w:rsidRPr="00F26260">
        <w:rPr>
          <w:rFonts w:ascii="TH Niramit AS" w:hAnsi="TH Niramit AS" w:cs="TH Niramit AS"/>
        </w:rPr>
        <w:instrText>http</w:instrText>
      </w:r>
      <w:r w:rsidR="009F75F8" w:rsidRPr="00F26260">
        <w:rPr>
          <w:rFonts w:ascii="TH Niramit AS" w:hAnsi="TH Niramit AS" w:cs="TH Niramit AS"/>
          <w:szCs w:val="22"/>
          <w:cs/>
        </w:rPr>
        <w:instrText>://</w:instrText>
      </w:r>
      <w:r w:rsidR="009F75F8" w:rsidRPr="00F26260">
        <w:rPr>
          <w:rFonts w:ascii="TH Niramit AS" w:hAnsi="TH Niramit AS" w:cs="TH Niramit AS"/>
        </w:rPr>
        <w:instrText>www</w:instrText>
      </w:r>
      <w:r w:rsidR="009F75F8" w:rsidRPr="00F26260">
        <w:rPr>
          <w:rFonts w:ascii="TH Niramit AS" w:hAnsi="TH Niramit AS" w:cs="TH Niramit AS"/>
          <w:szCs w:val="22"/>
          <w:cs/>
        </w:rPr>
        <w:instrText>.</w:instrText>
      </w:r>
      <w:r w:rsidR="009F75F8" w:rsidRPr="00F26260">
        <w:rPr>
          <w:rFonts w:ascii="TH Niramit AS" w:hAnsi="TH Niramit AS" w:cs="TH Niramit AS"/>
        </w:rPr>
        <w:instrText>education</w:instrText>
      </w:r>
      <w:r w:rsidR="009F75F8" w:rsidRPr="00F26260">
        <w:rPr>
          <w:rFonts w:ascii="TH Niramit AS" w:hAnsi="TH Niramit AS" w:cs="TH Niramit AS"/>
          <w:szCs w:val="22"/>
          <w:cs/>
        </w:rPr>
        <w:instrText>.</w:instrText>
      </w:r>
      <w:r w:rsidR="009F75F8" w:rsidRPr="00F26260">
        <w:rPr>
          <w:rFonts w:ascii="TH Niramit AS" w:hAnsi="TH Niramit AS" w:cs="TH Niramit AS"/>
        </w:rPr>
        <w:instrText>mju</w:instrText>
      </w:r>
      <w:r w:rsidR="009F75F8" w:rsidRPr="00F26260">
        <w:rPr>
          <w:rFonts w:ascii="TH Niramit AS" w:hAnsi="TH Niramit AS" w:cs="TH Niramit AS"/>
          <w:szCs w:val="22"/>
          <w:cs/>
        </w:rPr>
        <w:instrText>.</w:instrText>
      </w:r>
      <w:r w:rsidR="009F75F8" w:rsidRPr="00F26260">
        <w:rPr>
          <w:rFonts w:ascii="TH Niramit AS" w:hAnsi="TH Niramit AS" w:cs="TH Niramit AS"/>
        </w:rPr>
        <w:instrText>ac</w:instrText>
      </w:r>
      <w:r w:rsidR="009F75F8" w:rsidRPr="00F26260">
        <w:rPr>
          <w:rFonts w:ascii="TH Niramit AS" w:hAnsi="TH Niramit AS" w:cs="TH Niramit AS"/>
          <w:szCs w:val="22"/>
          <w:cs/>
        </w:rPr>
        <w:instrText>.</w:instrText>
      </w:r>
      <w:r w:rsidR="009F75F8" w:rsidRPr="00F26260">
        <w:rPr>
          <w:rFonts w:ascii="TH Niramit AS" w:hAnsi="TH Niramit AS" w:cs="TH Niramit AS"/>
        </w:rPr>
        <w:instrText>th</w:instrText>
      </w:r>
      <w:r w:rsidR="009F75F8" w:rsidRPr="00F26260">
        <w:rPr>
          <w:rFonts w:ascii="TH Niramit AS" w:hAnsi="TH Niramit AS" w:cs="TH Niramit AS"/>
          <w:szCs w:val="22"/>
          <w:cs/>
        </w:rPr>
        <w:instrText>/</w:instrText>
      </w:r>
      <w:r w:rsidR="009F75F8" w:rsidRPr="00F26260">
        <w:rPr>
          <w:rFonts w:ascii="TH Niramit AS" w:hAnsi="TH Niramit AS" w:cs="TH Niramit AS"/>
        </w:rPr>
        <w:instrText>statistic</w:instrText>
      </w:r>
      <w:r w:rsidR="009F75F8" w:rsidRPr="00F26260">
        <w:rPr>
          <w:rFonts w:ascii="TH Niramit AS" w:hAnsi="TH Niramit AS" w:cs="TH Niramit AS"/>
          <w:szCs w:val="22"/>
          <w:cs/>
        </w:rPr>
        <w:instrText>/</w:instrText>
      </w:r>
      <w:r w:rsidR="009F75F8" w:rsidRPr="00F26260">
        <w:rPr>
          <w:rFonts w:ascii="TH Niramit AS" w:hAnsi="TH Niramit AS" w:cs="TH Niramit AS"/>
        </w:rPr>
        <w:instrText>student</w:instrText>
      </w:r>
      <w:r w:rsidR="009F75F8" w:rsidRPr="00F26260">
        <w:rPr>
          <w:rFonts w:ascii="TH Niramit AS" w:hAnsi="TH Niramit AS" w:cs="TH Niramit AS"/>
          <w:szCs w:val="22"/>
          <w:cs/>
        </w:rPr>
        <w:instrText>/</w:instrText>
      </w:r>
      <w:r w:rsidR="009F75F8" w:rsidRPr="00F26260">
        <w:rPr>
          <w:rFonts w:ascii="TH Niramit AS" w:hAnsi="TH Niramit AS" w:cs="TH Niramit AS"/>
        </w:rPr>
        <w:instrText>studentByAcadSemFacDetail</w:instrText>
      </w:r>
      <w:r w:rsidR="009F75F8" w:rsidRPr="00F26260">
        <w:rPr>
          <w:rFonts w:ascii="TH Niramit AS" w:hAnsi="TH Niramit AS" w:cs="TH Niramit AS"/>
          <w:szCs w:val="22"/>
          <w:cs/>
        </w:rPr>
        <w:instrText>.</w:instrText>
      </w:r>
      <w:r w:rsidR="009F75F8" w:rsidRPr="00F26260">
        <w:rPr>
          <w:rFonts w:ascii="TH Niramit AS" w:hAnsi="TH Niramit AS" w:cs="TH Niramit AS"/>
        </w:rPr>
        <w:instrText>aspx</w:instrText>
      </w:r>
      <w:r w:rsidR="009F75F8" w:rsidRPr="00F26260">
        <w:rPr>
          <w:rFonts w:ascii="TH Niramit AS" w:hAnsi="TH Niramit AS" w:cs="TH Niramit AS"/>
          <w:szCs w:val="22"/>
          <w:cs/>
        </w:rPr>
        <w:instrText xml:space="preserve">" </w:instrText>
      </w:r>
      <w:r w:rsidR="009F75F8" w:rsidRPr="00F26260">
        <w:rPr>
          <w:rFonts w:ascii="TH Niramit AS" w:hAnsi="TH Niramit AS" w:cs="TH Niramit AS"/>
        </w:rPr>
        <w:fldChar w:fldCharType="separate"/>
      </w:r>
      <w:r w:rsidRPr="00F26260">
        <w:rPr>
          <w:rStyle w:val="Hyperlink"/>
          <w:rFonts w:ascii="TH Niramit AS" w:hAnsi="TH Niramit AS" w:cs="TH Niramit AS"/>
          <w:sz w:val="28"/>
        </w:rPr>
        <w:t>http</w:t>
      </w:r>
      <w:r w:rsidRPr="00F26260">
        <w:rPr>
          <w:rStyle w:val="Hyperlink"/>
          <w:rFonts w:ascii="TH Niramit AS" w:hAnsi="TH Niramit AS" w:cs="TH Niramit AS"/>
          <w:sz w:val="28"/>
          <w:cs/>
        </w:rPr>
        <w:t>://</w:t>
      </w:r>
      <w:r w:rsidRPr="00F26260">
        <w:rPr>
          <w:rStyle w:val="Hyperlink"/>
          <w:rFonts w:ascii="TH Niramit AS" w:hAnsi="TH Niramit AS" w:cs="TH Niramit AS"/>
          <w:sz w:val="28"/>
        </w:rPr>
        <w:t>www</w:t>
      </w:r>
      <w:r w:rsidRPr="00F26260">
        <w:rPr>
          <w:rStyle w:val="Hyperlink"/>
          <w:rFonts w:ascii="TH Niramit AS" w:hAnsi="TH Niramit AS" w:cs="TH Niramit AS"/>
          <w:sz w:val="28"/>
          <w:cs/>
        </w:rPr>
        <w:t>.</w:t>
      </w:r>
      <w:r w:rsidRPr="00F26260">
        <w:rPr>
          <w:rStyle w:val="Hyperlink"/>
          <w:rFonts w:ascii="TH Niramit AS" w:hAnsi="TH Niramit AS" w:cs="TH Niramit AS"/>
          <w:sz w:val="28"/>
        </w:rPr>
        <w:t>education</w:t>
      </w:r>
      <w:r w:rsidRPr="00F26260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F26260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F26260">
        <w:rPr>
          <w:rStyle w:val="Hyperlink"/>
          <w:rFonts w:ascii="TH Niramit AS" w:hAnsi="TH Niramit AS" w:cs="TH Niramit AS"/>
          <w:sz w:val="28"/>
          <w:cs/>
        </w:rPr>
        <w:t>.</w:t>
      </w:r>
      <w:r w:rsidRPr="00F26260">
        <w:rPr>
          <w:rStyle w:val="Hyperlink"/>
          <w:rFonts w:ascii="TH Niramit AS" w:hAnsi="TH Niramit AS" w:cs="TH Niramit AS"/>
          <w:sz w:val="28"/>
        </w:rPr>
        <w:t>ac</w:t>
      </w:r>
      <w:r w:rsidRPr="00F26260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F26260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F26260">
        <w:rPr>
          <w:rStyle w:val="Hyperlink"/>
          <w:rFonts w:ascii="TH Niramit AS" w:hAnsi="TH Niramit AS" w:cs="TH Niramit AS"/>
          <w:sz w:val="28"/>
          <w:cs/>
        </w:rPr>
        <w:t>/</w:t>
      </w:r>
      <w:r w:rsidRPr="00F26260">
        <w:rPr>
          <w:rStyle w:val="Hyperlink"/>
          <w:rFonts w:ascii="TH Niramit AS" w:hAnsi="TH Niramit AS" w:cs="TH Niramit AS"/>
          <w:sz w:val="28"/>
        </w:rPr>
        <w:t>statistic</w:t>
      </w:r>
      <w:r w:rsidRPr="00F26260">
        <w:rPr>
          <w:rStyle w:val="Hyperlink"/>
          <w:rFonts w:ascii="TH Niramit AS" w:hAnsi="TH Niramit AS" w:cs="TH Niramit AS"/>
          <w:sz w:val="28"/>
          <w:cs/>
        </w:rPr>
        <w:t>/</w:t>
      </w:r>
      <w:r w:rsidRPr="00F26260">
        <w:rPr>
          <w:rStyle w:val="Hyperlink"/>
          <w:rFonts w:ascii="TH Niramit AS" w:hAnsi="TH Niramit AS" w:cs="TH Niramit AS"/>
          <w:sz w:val="28"/>
        </w:rPr>
        <w:t>student</w:t>
      </w:r>
      <w:r w:rsidRPr="00F26260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F26260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F26260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F26260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9F75F8" w:rsidRPr="00F26260">
        <w:rPr>
          <w:rStyle w:val="Hyperlink"/>
          <w:rFonts w:ascii="TH Niramit AS" w:hAnsi="TH Niramit AS" w:cs="TH Niramit AS"/>
          <w:sz w:val="28"/>
        </w:rPr>
        <w:fldChar w:fldCharType="end"/>
      </w:r>
    </w:p>
    <w:p w:rsidR="002055E5" w:rsidRPr="00F26260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F26260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 w:rsidR="004D175F" w:rsidRPr="00F26260">
        <w:rPr>
          <w:rFonts w:ascii="TH Niramit AS" w:hAnsi="TH Niramit AS" w:cs="TH Niramit AS"/>
          <w:sz w:val="28"/>
          <w:cs/>
        </w:rPr>
        <w:t>เศรษฐศาสตร์</w:t>
      </w:r>
      <w:r w:rsidRPr="00F26260">
        <w:rPr>
          <w:rFonts w:ascii="TH Niramit AS" w:hAnsi="TH Niramit AS" w:cs="TH Niramit AS"/>
          <w:sz w:val="28"/>
          <w:cs/>
        </w:rPr>
        <w:t xml:space="preserve"> อาจารย์นอกคณะและอาจารย์พิเศษ</w:t>
      </w:r>
    </w:p>
    <w:p w:rsidR="002055E5" w:rsidRPr="00F26260" w:rsidRDefault="002055E5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2E7173" w:rsidRPr="00F26260" w:rsidRDefault="002E7173" w:rsidP="002E7173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F26260">
        <w:rPr>
          <w:rFonts w:ascii="TH Niramit AS" w:eastAsia="Calibri" w:hAnsi="TH Niramit AS" w:cs="TH Niramit AS"/>
          <w:sz w:val="32"/>
          <w:szCs w:val="32"/>
          <w:cs/>
        </w:rPr>
        <w:lastRenderedPageBreak/>
        <w:tab/>
        <w:t xml:space="preserve">จากแนวทางในการคำนวณค่า </w:t>
      </w:r>
      <w:r w:rsidRPr="00F26260">
        <w:rPr>
          <w:rFonts w:ascii="TH Niramit AS" w:eastAsia="Calibri" w:hAnsi="TH Niramit AS" w:cs="TH Niramit AS"/>
          <w:sz w:val="32"/>
          <w:szCs w:val="32"/>
        </w:rPr>
        <w:t>FTE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2565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F26260">
        <w:rPr>
          <w:rFonts w:ascii="TH Niramit AS" w:eastAsia="Calibri" w:hAnsi="TH Niramit AS" w:cs="TH Niramit AS"/>
          <w:sz w:val="32"/>
          <w:szCs w:val="32"/>
        </w:rPr>
        <w:t>FTE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</w:t>
      </w:r>
      <w:r w:rsidR="00B073B0"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0E4072" w:rsidRPr="00F26260">
        <w:rPr>
          <w:rFonts w:ascii="TH Niramit AS" w:eastAsia="Calibri" w:hAnsi="TH Niramit AS" w:cs="TH Niramit AS"/>
          <w:sz w:val="32"/>
          <w:szCs w:val="32"/>
          <w:cs/>
        </w:rPr>
        <w:t>3.00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2564 เท่ากับ</w:t>
      </w:r>
      <w:r w:rsidR="00B073B0"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0E4072" w:rsidRPr="00F26260">
        <w:rPr>
          <w:rFonts w:ascii="TH Niramit AS" w:eastAsia="Calibri" w:hAnsi="TH Niramit AS" w:cs="TH Niramit AS"/>
          <w:sz w:val="32"/>
          <w:szCs w:val="32"/>
          <w:cs/>
        </w:rPr>
        <w:t>3.25</w:t>
      </w:r>
      <w:r w:rsidR="00CD297A"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และปีการศึกษา 2563 เท่ากับ </w:t>
      </w:r>
      <w:r w:rsidR="00B75527" w:rsidRPr="00F26260">
        <w:rPr>
          <w:rFonts w:ascii="TH Niramit AS" w:eastAsia="Calibri" w:hAnsi="TH Niramit AS" w:cs="TH Niramit AS"/>
          <w:sz w:val="32"/>
          <w:szCs w:val="32"/>
          <w:cs/>
        </w:rPr>
        <w:t>3.</w:t>
      </w:r>
      <w:r w:rsidR="000E4072" w:rsidRPr="00F26260">
        <w:rPr>
          <w:rFonts w:ascii="TH Niramit AS" w:eastAsia="Calibri" w:hAnsi="TH Niramit AS" w:cs="TH Niramit AS"/>
          <w:sz w:val="32"/>
          <w:szCs w:val="32"/>
          <w:cs/>
        </w:rPr>
        <w:t>00</w:t>
      </w:r>
      <w:r w:rsidR="00B75527"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>ทำให้เห็นแนวโน้ม (</w:t>
      </w:r>
      <w:r w:rsidRPr="00F26260">
        <w:rPr>
          <w:rFonts w:ascii="TH Niramit AS" w:eastAsia="Calibri" w:hAnsi="TH Niramit AS" w:cs="TH Niramit AS"/>
          <w:sz w:val="32"/>
          <w:szCs w:val="32"/>
        </w:rPr>
        <w:t>Trend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F26260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F26260">
        <w:rPr>
          <w:rFonts w:ascii="TH Niramit AS" w:eastAsia="Calibri" w:hAnsi="TH Niramit AS" w:cs="TH Niramit AS"/>
          <w:sz w:val="32"/>
          <w:szCs w:val="32"/>
        </w:rPr>
        <w:t>FTE</w:t>
      </w:r>
      <w:r w:rsidRPr="00F26260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:rsidR="00E1370E" w:rsidRPr="00F26260" w:rsidRDefault="00E1370E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BF4641" w:rsidRPr="00F26260" w:rsidRDefault="00BF4641" w:rsidP="00F2626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:rsidR="00BF4641" w:rsidRPr="00F26260" w:rsidRDefault="00BF4641" w:rsidP="00BF4641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F26260">
        <w:rPr>
          <w:rFonts w:ascii="TH Niramit AS" w:hAnsi="TH Niramit AS" w:cs="TH Niramit AS"/>
          <w:sz w:val="32"/>
          <w:szCs w:val="32"/>
        </w:rPr>
        <w:t>TOR</w:t>
      </w:r>
      <w:r w:rsidRPr="00F26260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:rsidR="00BF4641" w:rsidRPr="00F26260" w:rsidRDefault="00BF4641" w:rsidP="00BF4641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F26260">
        <w:rPr>
          <w:rFonts w:ascii="TH Niramit AS" w:hAnsi="TH Niramit AS" w:cs="TH Niramit AS"/>
          <w:sz w:val="32"/>
          <w:szCs w:val="32"/>
        </w:rPr>
        <w:t>Competency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) ซึ่งมีการกำหนดค่าคาดหวังของสมรรถนะหลักและสมรรถนะเฉพาะงาน </w:t>
      </w: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เรื่องหลักเกณฑ์และวิธีการประเมินผลการปฏิบัติงานของพนักงานมหาวิทยาลัย พ.ศ. 2561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C45911" w:themeColor="accent2" w:themeShade="BF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F26260">
        <w:rPr>
          <w:rFonts w:ascii="TH Niramit AS" w:hAnsi="TH Niramit AS" w:cs="TH Niramit AS"/>
          <w:sz w:val="32"/>
          <w:szCs w:val="32"/>
        </w:rPr>
        <w:t>TOR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>- รายงานการประชุมหลักสูตร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>- รายงานผลการอบรมการพัฒนาตนเอง และผลการนำไปใช้ในการเรียนการสอน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BF4641" w:rsidRPr="00F26260" w:rsidRDefault="00BF4641" w:rsidP="00F2626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lastRenderedPageBreak/>
        <w:tab/>
        <w:t>หลักสูตรฯ ดำเนินการแต่งตั้งอาจารย์ผู้รับผิดชอบหลักสูตร ตามเกณฑ์มาตรฐานการอุดมศึกษาและเกณฑ์มาตรฐานการจัดการศึกษาของสำนักงานคณะกรรมการการอุดมศึกษา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:rsidR="00BF4641" w:rsidRPr="00F26260" w:rsidRDefault="00BF4641" w:rsidP="00F2626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ตรงตามเกณฑ์จากคณาจารณ์ในคณะเศรษฐศาสตร์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:rsidR="00F26260" w:rsidRDefault="00BF4641" w:rsidP="00F26260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</w:r>
      <w:r w:rsidR="00F26260">
        <w:rPr>
          <w:rFonts w:ascii="TH Niramit AS" w:hAnsi="TH Niramit AS" w:cs="TH Niramit AS"/>
          <w:sz w:val="32"/>
          <w:szCs w:val="32"/>
          <w:cs/>
        </w:rPr>
        <w:t xml:space="preserve">ในปีการศึกษา 2565 หลักสูตรฯ มีการปรับเปลี่ยนอาจารย์ผู้รับผิดชอบหลักสูตร ดังนั้น หลักสูตรฯ จึงวางแผนจัดทำแผนอาจารย์เพื่อทดแทน </w:t>
      </w:r>
      <w:r w:rsidR="00F26260">
        <w:rPr>
          <w:rFonts w:ascii="TH Niramit AS" w:hAnsi="TH Niramit AS" w:cs="TH Niramit AS"/>
          <w:color w:val="FF0000"/>
          <w:sz w:val="32"/>
          <w:szCs w:val="32"/>
          <w:highlight w:val="yellow"/>
          <w:cs/>
        </w:rPr>
        <w:t>(ถ้ามี)</w:t>
      </w:r>
      <w:r w:rsidR="00F26260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F26260">
        <w:rPr>
          <w:rFonts w:ascii="TH Niramit AS" w:hAnsi="TH Niramit AS" w:cs="TH Niramit AS"/>
          <w:sz w:val="32"/>
          <w:szCs w:val="32"/>
          <w:cs/>
        </w:rPr>
        <w:t>ในช่วงเวลาระหว่างการจัดสรรอาจารย์ใหม่เพื่อทดแทน (</w:t>
      </w:r>
      <w:r w:rsidR="00F26260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:rsidR="00F26260" w:rsidRDefault="00F26260" w:rsidP="00F26260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6260" w:rsidTr="00F2626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0" w:rsidRDefault="00F2626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0" w:rsidRDefault="00F2626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0" w:rsidRDefault="00F2626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F26260" w:rsidTr="00F2626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26260" w:rsidTr="00F2626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26260" w:rsidTr="00F2626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0" w:rsidRDefault="00F2626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F26260" w:rsidRDefault="00F26260" w:rsidP="00F2626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BF4641" w:rsidRPr="00F26260" w:rsidRDefault="00BF4641" w:rsidP="00F26260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F26260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F26260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F26260">
        <w:rPr>
          <w:rFonts w:ascii="TH Niramit AS" w:hAnsi="TH Niramit AS" w:cs="TH Niramit AS"/>
          <w:sz w:val="32"/>
          <w:szCs w:val="32"/>
        </w:rPr>
        <w:t>,</w:t>
      </w:r>
      <w:r w:rsidRPr="00F26260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F26260">
        <w:rPr>
          <w:rFonts w:ascii="TH Niramit AS" w:hAnsi="TH Niramit AS" w:cs="TH Niramit AS"/>
          <w:sz w:val="32"/>
          <w:szCs w:val="32"/>
        </w:rPr>
        <w:t>,</w:t>
      </w:r>
      <w:r w:rsidRPr="00F26260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F26260">
        <w:rPr>
          <w:rFonts w:ascii="TH Niramit AS" w:hAnsi="TH Niramit AS" w:cs="TH Niramit AS"/>
          <w:sz w:val="32"/>
          <w:szCs w:val="32"/>
        </w:rPr>
        <w:t>Term of Reference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F26260">
        <w:rPr>
          <w:rFonts w:ascii="TH Niramit AS" w:hAnsi="TH Niramit AS" w:cs="TH Niramit AS"/>
          <w:sz w:val="32"/>
          <w:szCs w:val="32"/>
        </w:rPr>
        <w:t>TOR</w:t>
      </w:r>
      <w:r w:rsidRPr="00F26260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F26260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BF4641" w:rsidRPr="00F26260">
          <w:pgSz w:w="11906" w:h="16838"/>
          <w:pgMar w:top="1440" w:right="1440" w:bottom="1440" w:left="1440" w:header="720" w:footer="720" w:gutter="0"/>
          <w:cols w:space="720"/>
        </w:sectPr>
      </w:pP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การจัดการเรื่องค่าจ้างค่าตอบแทนของอาจารย์ผู้รับผิดชอบหลักสูตรดำเนินการโดยคณะฯ ที่อ้างอิงจากมาตรฐานการกำหนดตำแหน่งของมหาวิทยาลัยแม่โจ้ ในเรื่องสวัสดิการต่าง ๆ ระบบกองทุนพนักงานกองทุนสำรองเลี้ยงชีพ ระบบประกันสังคม การจ่ายค่าตอบแทน สิทธิการลา สวัสดิการ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F26260">
        <w:rPr>
          <w:rFonts w:ascii="TH Niramit AS" w:hAnsi="TH Niramit AS" w:cs="TH Niramit AS"/>
          <w:sz w:val="32"/>
          <w:szCs w:val="32"/>
        </w:rPr>
        <w:t>ERP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แจ้งผ่านเว็บไซต์กองบริหารทรัพยากรบุคคล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ab/>
        <w:t>สำหรับการประพฤติกรรมตามจรรยาบรรณบุคลากรสายวิชาการ อาจารย์ผู้รับผิดชอบหลักสูตรทุกคนปฏิบัติตามระเบียบข้อบังคับในการปฏิบัติงานที่กำหนดโดยมหาวิทยาลัย และเผยแพร่โดยกองบริหารทรัพยากรบุคคล</w:t>
      </w:r>
    </w:p>
    <w:p w:rsidR="00BF4641" w:rsidRPr="00F26260" w:rsidRDefault="00BF4641" w:rsidP="00F26260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 xml:space="preserve"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bookmarkStart w:id="0" w:name="_GoBack"/>
      <w:bookmarkEnd w:id="0"/>
      <w:r w:rsidRPr="00F26260">
        <w:rPr>
          <w:rFonts w:ascii="TH Niramit AS" w:hAnsi="TH Niramit AS" w:cs="TH Niramit AS"/>
          <w:sz w:val="32"/>
          <w:szCs w:val="32"/>
          <w:cs/>
        </w:rPr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F26260">
        <w:rPr>
          <w:rFonts w:ascii="TH Niramit AS" w:hAnsi="TH Niramit AS" w:cs="TH Niramit AS"/>
          <w:sz w:val="32"/>
          <w:szCs w:val="32"/>
        </w:rPr>
        <w:t>,</w:t>
      </w:r>
      <w:r w:rsidRPr="00F26260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F26260">
        <w:rPr>
          <w:rFonts w:ascii="TH Niramit AS" w:hAnsi="TH Niramit AS" w:cs="TH Niramit AS"/>
          <w:sz w:val="32"/>
          <w:szCs w:val="32"/>
        </w:rPr>
        <w:t>,</w:t>
      </w:r>
      <w:r w:rsidRPr="00F26260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BF4641" w:rsidRPr="00F26260" w:rsidRDefault="00BF4641" w:rsidP="00BF4641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F26260">
        <w:rPr>
          <w:rFonts w:ascii="TH Niramit AS" w:hAnsi="TH Niramit AS" w:cs="TH Niramit AS"/>
          <w:sz w:val="32"/>
          <w:szCs w:val="32"/>
        </w:rPr>
        <w:t>Professional standard framework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F26260">
        <w:rPr>
          <w:rFonts w:ascii="TH Niramit AS" w:hAnsi="TH Niramit AS" w:cs="TH Niramit AS"/>
          <w:sz w:val="32"/>
          <w:szCs w:val="32"/>
        </w:rPr>
        <w:t>,</w:t>
      </w:r>
      <w:r w:rsidRPr="00F26260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F26260">
        <w:rPr>
          <w:rFonts w:ascii="TH Niramit AS" w:hAnsi="TH Niramit AS" w:cs="TH Niramit AS"/>
          <w:sz w:val="32"/>
          <w:szCs w:val="32"/>
        </w:rPr>
        <w:t>,</w:t>
      </w:r>
      <w:r w:rsidRPr="00F26260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 มีการพัฒนา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BF4641" w:rsidRPr="00F26260" w:rsidTr="00BF464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ชื่อ – สกุล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วัน/เวลา/สถานที่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</w:tr>
      <w:tr w:rsidR="00BF4641" w:rsidRPr="00F26260" w:rsidTr="00BF464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BF4641" w:rsidRPr="00F26260" w:rsidTr="00BF464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BF4641" w:rsidRPr="00F26260" w:rsidTr="00BF464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BF4641" w:rsidRPr="00F26260" w:rsidTr="00BF464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BF4641" w:rsidRPr="00F26260" w:rsidRDefault="00BF4641" w:rsidP="00BF4641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BF4641" w:rsidRPr="00F26260" w:rsidTr="00BF464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BF4641" w:rsidRPr="00F26260" w:rsidRDefault="00BF4641" w:rsidP="00BF4641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  <w:cs/>
        </w:rPr>
      </w:pP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F26260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F26260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recognition is implemented to assess academic staff teaching and research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26260">
        <w:rPr>
          <w:rFonts w:ascii="TH Niramit AS" w:hAnsi="TH Niramit AS" w:cs="TH Niramit AS"/>
          <w:b/>
          <w:bCs/>
          <w:sz w:val="32"/>
          <w:szCs w:val="32"/>
        </w:rPr>
        <w:t>quality</w:t>
      </w: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BF4641" w:rsidRPr="00F26260" w:rsidRDefault="00BF4641" w:rsidP="00BF4641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26260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F26260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:rsidR="00BF4641" w:rsidRPr="00F26260" w:rsidRDefault="00BF4641" w:rsidP="00BF4641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26260">
        <w:rPr>
          <w:rFonts w:ascii="TH Niramit AS" w:eastAsia="Times New Roman" w:hAnsi="TH Niramit AS" w:cs="TH Niramit AS"/>
          <w:sz w:val="32"/>
          <w:szCs w:val="32"/>
          <w:cs/>
        </w:rPr>
        <w:t>1. 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:rsidR="00BF4641" w:rsidRPr="00F26260" w:rsidRDefault="00BF4641" w:rsidP="00BF464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2. 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การยกย่อง ชมเชย </w:t>
      </w:r>
      <w:r w:rsidRPr="00F26260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BF4641" w:rsidRPr="00F26260" w:rsidRDefault="00BF4641" w:rsidP="00BF4641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1. 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F26260">
        <w:rPr>
          <w:rFonts w:ascii="TH Niramit AS" w:hAnsi="TH Niramit AS" w:cs="TH Niramit AS"/>
          <w:sz w:val="32"/>
          <w:szCs w:val="32"/>
        </w:rPr>
        <w:br/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F26260">
        <w:rPr>
          <w:rFonts w:ascii="TH Niramit AS" w:hAnsi="TH Niramit AS" w:cs="TH Niramit AS"/>
          <w:sz w:val="32"/>
          <w:szCs w:val="32"/>
        </w:rPr>
        <w:t>Facebook</w:t>
      </w:r>
      <w:r w:rsidRPr="00F26260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F26260">
        <w:rPr>
          <w:rFonts w:ascii="TH Niramit AS" w:hAnsi="TH Niramit AS" w:cs="TH Niramit AS"/>
          <w:sz w:val="32"/>
          <w:szCs w:val="32"/>
        </w:rPr>
        <w:t>Line</w:t>
      </w:r>
      <w:r w:rsidRPr="00F26260">
        <w:rPr>
          <w:rFonts w:ascii="TH Niramit AS" w:hAnsi="TH Niramit AS" w:cs="TH Niramit AS"/>
          <w:sz w:val="32"/>
          <w:szCs w:val="32"/>
          <w:cs/>
        </w:rPr>
        <w:t>คณะ เว็บไซต์คณะ และที่ประชุมบุคลากรและที่ประชุมกรรมการประจำคณะฯ</w:t>
      </w:r>
    </w:p>
    <w:p w:rsidR="00BF4641" w:rsidRPr="00F26260" w:rsidRDefault="00BF4641" w:rsidP="00BF4641">
      <w:pPr>
        <w:pStyle w:val="ListParagraph"/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F26260">
        <w:rPr>
          <w:rFonts w:ascii="TH Niramit AS" w:hAnsi="TH Niramit AS" w:cs="TH Niramit AS"/>
          <w:sz w:val="32"/>
          <w:szCs w:val="32"/>
          <w:cs/>
        </w:rPr>
        <w:t>2. ในระดับหลักสูตรมีการสร้างบรรยากาศการทำงานเป็นทีมที่ช่วยจูงใจให้บุคลากรสายวิชาการร่วมสร้างผลงานทางวิชาการและการขอกำหนดตำแหน่งที่สูงขึ้น</w:t>
      </w: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26260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การเพิ่มขวัญและกำลังใจของบุคลากร</w:t>
      </w:r>
      <w:r w:rsidRPr="00F26260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:rsidR="00BF4641" w:rsidRPr="00F26260" w:rsidRDefault="00BF4641" w:rsidP="00BF4641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26260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สร้างความรักความสามัคคีภายในคณะ เพื่อเป็นแรงขับเคลื่อนการดำเนินงานของคณะอีกทางหนึ่ง   </w:t>
      </w:r>
    </w:p>
    <w:p w:rsidR="00BF4641" w:rsidRPr="00F26260" w:rsidRDefault="00BF4641" w:rsidP="00BF4641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2626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F26260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AUN</w:t>
      </w:r>
      <w:r w:rsidRPr="00F2626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-</w:t>
      </w:r>
      <w:r w:rsidRPr="00F26260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BF4641" w:rsidRPr="00F26260" w:rsidTr="00BF4641"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26260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5.1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academic staff planning 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including succession,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promotion, re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deployment, termination, and retirement plans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is carried out to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ensure that the quality and quantity of the academic staff fulfil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lastRenderedPageBreak/>
              <w:t>the needs for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education, research, and service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5.2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staff workload is measured and monitored to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improve the quality of education, research, and service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5.3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the competences of the academic staff are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determined, evaluated, and communicated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5.4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the duties allocated to the academic staff are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appropriate to qualifications, experience, and aptitude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5.5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promotion of the academic staff is based on a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merit system which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lastRenderedPageBreak/>
              <w:t>accounts for teaching, research, and service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5.6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the rights and privileges, benefits, roles and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relationships, and accountability of the academic staff, taking into account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professional ethics and their academic freedom, are well defined and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understood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5.7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the training and developmental needs of the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academic staff are systematically identified, and that appropriate training and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development activities are implemented to fulfil the identified needs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BF4641" w:rsidRPr="00F26260" w:rsidTr="00BF4641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41" w:rsidRPr="00F26260" w:rsidRDefault="00BF464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5.8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F26260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26260">
              <w:rPr>
                <w:rFonts w:ascii="TH Niramit AS" w:hAnsi="TH Niramit AS" w:cs="TH Niramit AS"/>
                <w:sz w:val="32"/>
                <w:szCs w:val="32"/>
              </w:rPr>
              <w:t xml:space="preserve"> to show that performance management including reward and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lastRenderedPageBreak/>
              <w:t>recognition is implemented to assess academic staff teaching and research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F26260">
              <w:rPr>
                <w:rFonts w:ascii="TH Niramit AS" w:hAnsi="TH Niramit AS" w:cs="TH Niramit AS"/>
                <w:sz w:val="32"/>
                <w:szCs w:val="32"/>
              </w:rPr>
              <w:t>quality</w:t>
            </w:r>
            <w:r w:rsidRPr="00F2626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1" w:rsidRPr="00F26260" w:rsidRDefault="00BF4641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BF4641" w:rsidRPr="00F26260" w:rsidRDefault="00BF4641" w:rsidP="00BF4641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C05470" w:rsidRPr="00F26260" w:rsidRDefault="00C05470" w:rsidP="00BF4641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C05470" w:rsidRPr="00F26260" w:rsidSect="009B6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D5" w:rsidRDefault="00BF7BD5" w:rsidP="00626F53">
      <w:pPr>
        <w:spacing w:after="0" w:line="240" w:lineRule="auto"/>
      </w:pPr>
      <w:r>
        <w:separator/>
      </w:r>
    </w:p>
  </w:endnote>
  <w:endnote w:type="continuationSeparator" w:id="0">
    <w:p w:rsidR="00BF7BD5" w:rsidRDefault="00BF7BD5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D5" w:rsidRDefault="00BF7BD5" w:rsidP="00626F53">
      <w:pPr>
        <w:spacing w:after="0" w:line="240" w:lineRule="auto"/>
      </w:pPr>
      <w:r>
        <w:separator/>
      </w:r>
    </w:p>
  </w:footnote>
  <w:footnote w:type="continuationSeparator" w:id="0">
    <w:p w:rsidR="00BF7BD5" w:rsidRDefault="00BF7BD5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01102"/>
    <w:rsid w:val="0001016A"/>
    <w:rsid w:val="000319BF"/>
    <w:rsid w:val="00034CA2"/>
    <w:rsid w:val="00035FAD"/>
    <w:rsid w:val="00040AF8"/>
    <w:rsid w:val="00047982"/>
    <w:rsid w:val="00050B72"/>
    <w:rsid w:val="00056F1F"/>
    <w:rsid w:val="00057353"/>
    <w:rsid w:val="00060ED7"/>
    <w:rsid w:val="00073CEE"/>
    <w:rsid w:val="000756FA"/>
    <w:rsid w:val="00081397"/>
    <w:rsid w:val="00083DC1"/>
    <w:rsid w:val="00090AD9"/>
    <w:rsid w:val="000946FB"/>
    <w:rsid w:val="000A47D0"/>
    <w:rsid w:val="000B561D"/>
    <w:rsid w:val="000D32B3"/>
    <w:rsid w:val="000E4072"/>
    <w:rsid w:val="000F54D1"/>
    <w:rsid w:val="000F792E"/>
    <w:rsid w:val="0013103C"/>
    <w:rsid w:val="00134C08"/>
    <w:rsid w:val="00193170"/>
    <w:rsid w:val="001A150B"/>
    <w:rsid w:val="001A4E8E"/>
    <w:rsid w:val="001B266E"/>
    <w:rsid w:val="001B331B"/>
    <w:rsid w:val="001B4201"/>
    <w:rsid w:val="001C24B6"/>
    <w:rsid w:val="001C348F"/>
    <w:rsid w:val="001C636C"/>
    <w:rsid w:val="001D601C"/>
    <w:rsid w:val="00200FFD"/>
    <w:rsid w:val="002055E5"/>
    <w:rsid w:val="002221FE"/>
    <w:rsid w:val="00227D4D"/>
    <w:rsid w:val="0023266E"/>
    <w:rsid w:val="002376AB"/>
    <w:rsid w:val="00254AC6"/>
    <w:rsid w:val="00262FFE"/>
    <w:rsid w:val="00266047"/>
    <w:rsid w:val="0027095F"/>
    <w:rsid w:val="002906EC"/>
    <w:rsid w:val="002938DF"/>
    <w:rsid w:val="002A677A"/>
    <w:rsid w:val="002B23E1"/>
    <w:rsid w:val="002B734A"/>
    <w:rsid w:val="002C4800"/>
    <w:rsid w:val="002C7813"/>
    <w:rsid w:val="002E119B"/>
    <w:rsid w:val="002E258E"/>
    <w:rsid w:val="002E7173"/>
    <w:rsid w:val="002F55C2"/>
    <w:rsid w:val="002F78AB"/>
    <w:rsid w:val="00302168"/>
    <w:rsid w:val="00304951"/>
    <w:rsid w:val="00321178"/>
    <w:rsid w:val="003338CD"/>
    <w:rsid w:val="003423FB"/>
    <w:rsid w:val="003460CF"/>
    <w:rsid w:val="003503BE"/>
    <w:rsid w:val="00354107"/>
    <w:rsid w:val="003866C5"/>
    <w:rsid w:val="003B320E"/>
    <w:rsid w:val="003D4066"/>
    <w:rsid w:val="003E5FBD"/>
    <w:rsid w:val="003F5D6F"/>
    <w:rsid w:val="00401571"/>
    <w:rsid w:val="00412954"/>
    <w:rsid w:val="00442AF3"/>
    <w:rsid w:val="00444C73"/>
    <w:rsid w:val="004562B1"/>
    <w:rsid w:val="00457C07"/>
    <w:rsid w:val="0046131F"/>
    <w:rsid w:val="00464CCA"/>
    <w:rsid w:val="00470548"/>
    <w:rsid w:val="004864A6"/>
    <w:rsid w:val="004931AE"/>
    <w:rsid w:val="004A6263"/>
    <w:rsid w:val="004A79BE"/>
    <w:rsid w:val="004B0192"/>
    <w:rsid w:val="004B6745"/>
    <w:rsid w:val="004C6C05"/>
    <w:rsid w:val="004D175F"/>
    <w:rsid w:val="004E0F73"/>
    <w:rsid w:val="004E640E"/>
    <w:rsid w:val="004F4F17"/>
    <w:rsid w:val="00502B52"/>
    <w:rsid w:val="00503C0D"/>
    <w:rsid w:val="005300CB"/>
    <w:rsid w:val="00560DB9"/>
    <w:rsid w:val="0057055D"/>
    <w:rsid w:val="005A7A00"/>
    <w:rsid w:val="005D0AEE"/>
    <w:rsid w:val="005D16FB"/>
    <w:rsid w:val="005D22B9"/>
    <w:rsid w:val="005F0239"/>
    <w:rsid w:val="0060126F"/>
    <w:rsid w:val="00623E82"/>
    <w:rsid w:val="00626F53"/>
    <w:rsid w:val="0064683D"/>
    <w:rsid w:val="00655302"/>
    <w:rsid w:val="00661D8B"/>
    <w:rsid w:val="00683F2C"/>
    <w:rsid w:val="006855A1"/>
    <w:rsid w:val="00685C60"/>
    <w:rsid w:val="006A4C41"/>
    <w:rsid w:val="006A5C6A"/>
    <w:rsid w:val="006B24A7"/>
    <w:rsid w:val="006C43CB"/>
    <w:rsid w:val="006D69C2"/>
    <w:rsid w:val="006E70A2"/>
    <w:rsid w:val="006F1F21"/>
    <w:rsid w:val="00701A12"/>
    <w:rsid w:val="00705097"/>
    <w:rsid w:val="007155C7"/>
    <w:rsid w:val="00735D46"/>
    <w:rsid w:val="00757ED9"/>
    <w:rsid w:val="00786CC8"/>
    <w:rsid w:val="007910E1"/>
    <w:rsid w:val="00791A38"/>
    <w:rsid w:val="007A17EE"/>
    <w:rsid w:val="007E4325"/>
    <w:rsid w:val="00804A2B"/>
    <w:rsid w:val="0083263D"/>
    <w:rsid w:val="00844A1F"/>
    <w:rsid w:val="00846A05"/>
    <w:rsid w:val="00872CFF"/>
    <w:rsid w:val="00885C79"/>
    <w:rsid w:val="008866CA"/>
    <w:rsid w:val="00891E86"/>
    <w:rsid w:val="00896010"/>
    <w:rsid w:val="00896577"/>
    <w:rsid w:val="008B4016"/>
    <w:rsid w:val="008D48AF"/>
    <w:rsid w:val="008E2B04"/>
    <w:rsid w:val="008E3D44"/>
    <w:rsid w:val="008F0CB8"/>
    <w:rsid w:val="008F5AD3"/>
    <w:rsid w:val="009047B8"/>
    <w:rsid w:val="00906B34"/>
    <w:rsid w:val="00907C43"/>
    <w:rsid w:val="0092446E"/>
    <w:rsid w:val="00931CE9"/>
    <w:rsid w:val="00933431"/>
    <w:rsid w:val="0095120E"/>
    <w:rsid w:val="009817F3"/>
    <w:rsid w:val="00986662"/>
    <w:rsid w:val="009926C1"/>
    <w:rsid w:val="009A64B9"/>
    <w:rsid w:val="009B6F1D"/>
    <w:rsid w:val="009C58E0"/>
    <w:rsid w:val="009F6DC7"/>
    <w:rsid w:val="009F75F8"/>
    <w:rsid w:val="00A03BD6"/>
    <w:rsid w:val="00A24620"/>
    <w:rsid w:val="00A4342D"/>
    <w:rsid w:val="00A44F86"/>
    <w:rsid w:val="00A4740C"/>
    <w:rsid w:val="00A56DEA"/>
    <w:rsid w:val="00A60381"/>
    <w:rsid w:val="00A65D2C"/>
    <w:rsid w:val="00A77CF4"/>
    <w:rsid w:val="00A94F2A"/>
    <w:rsid w:val="00A9687C"/>
    <w:rsid w:val="00AC057F"/>
    <w:rsid w:val="00AE5D0C"/>
    <w:rsid w:val="00AF41B1"/>
    <w:rsid w:val="00AF79D8"/>
    <w:rsid w:val="00B056DC"/>
    <w:rsid w:val="00B073B0"/>
    <w:rsid w:val="00B157E2"/>
    <w:rsid w:val="00B26104"/>
    <w:rsid w:val="00B436A6"/>
    <w:rsid w:val="00B4593F"/>
    <w:rsid w:val="00B53906"/>
    <w:rsid w:val="00B55069"/>
    <w:rsid w:val="00B559D2"/>
    <w:rsid w:val="00B7012D"/>
    <w:rsid w:val="00B71019"/>
    <w:rsid w:val="00B71AEF"/>
    <w:rsid w:val="00B75527"/>
    <w:rsid w:val="00B91356"/>
    <w:rsid w:val="00B9197C"/>
    <w:rsid w:val="00BC3DB6"/>
    <w:rsid w:val="00BC594E"/>
    <w:rsid w:val="00BD4E31"/>
    <w:rsid w:val="00BD7AEE"/>
    <w:rsid w:val="00BF4641"/>
    <w:rsid w:val="00BF7BD5"/>
    <w:rsid w:val="00C009E4"/>
    <w:rsid w:val="00C05470"/>
    <w:rsid w:val="00C10997"/>
    <w:rsid w:val="00C11C4A"/>
    <w:rsid w:val="00C15233"/>
    <w:rsid w:val="00C35088"/>
    <w:rsid w:val="00C430E7"/>
    <w:rsid w:val="00C43998"/>
    <w:rsid w:val="00C508A9"/>
    <w:rsid w:val="00C56457"/>
    <w:rsid w:val="00CB5920"/>
    <w:rsid w:val="00CC2412"/>
    <w:rsid w:val="00CD0A7C"/>
    <w:rsid w:val="00CD297A"/>
    <w:rsid w:val="00CD75DE"/>
    <w:rsid w:val="00CF7A6A"/>
    <w:rsid w:val="00CF7D83"/>
    <w:rsid w:val="00D11395"/>
    <w:rsid w:val="00D145C4"/>
    <w:rsid w:val="00D2667F"/>
    <w:rsid w:val="00D301B4"/>
    <w:rsid w:val="00D33C38"/>
    <w:rsid w:val="00D44257"/>
    <w:rsid w:val="00D63069"/>
    <w:rsid w:val="00D74BAF"/>
    <w:rsid w:val="00D7669E"/>
    <w:rsid w:val="00D77516"/>
    <w:rsid w:val="00D80257"/>
    <w:rsid w:val="00D80B30"/>
    <w:rsid w:val="00D81AEF"/>
    <w:rsid w:val="00D86C6D"/>
    <w:rsid w:val="00DB014D"/>
    <w:rsid w:val="00DC0B2B"/>
    <w:rsid w:val="00DC4FB9"/>
    <w:rsid w:val="00DE1704"/>
    <w:rsid w:val="00DE67C3"/>
    <w:rsid w:val="00DF15BC"/>
    <w:rsid w:val="00DF310C"/>
    <w:rsid w:val="00DF3A17"/>
    <w:rsid w:val="00E1173C"/>
    <w:rsid w:val="00E1370E"/>
    <w:rsid w:val="00E14DBB"/>
    <w:rsid w:val="00E1729F"/>
    <w:rsid w:val="00E21211"/>
    <w:rsid w:val="00E27710"/>
    <w:rsid w:val="00E2798C"/>
    <w:rsid w:val="00E27B61"/>
    <w:rsid w:val="00E47223"/>
    <w:rsid w:val="00E5147C"/>
    <w:rsid w:val="00E81F54"/>
    <w:rsid w:val="00E85CE7"/>
    <w:rsid w:val="00EA460C"/>
    <w:rsid w:val="00ED196E"/>
    <w:rsid w:val="00F217B3"/>
    <w:rsid w:val="00F26260"/>
    <w:rsid w:val="00F410A3"/>
    <w:rsid w:val="00F450E6"/>
    <w:rsid w:val="00F46916"/>
    <w:rsid w:val="00F6449B"/>
    <w:rsid w:val="00F73BE6"/>
    <w:rsid w:val="00F86449"/>
    <w:rsid w:val="00F934B6"/>
    <w:rsid w:val="00F95317"/>
    <w:rsid w:val="00FB0F9F"/>
    <w:rsid w:val="00FC1DD9"/>
    <w:rsid w:val="00FD1222"/>
    <w:rsid w:val="00FF1174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B8A91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character" w:styleId="FollowedHyperlink">
    <w:name w:val="FollowedHyperlink"/>
    <w:basedOn w:val="DefaultParagraphFont"/>
    <w:uiPriority w:val="99"/>
    <w:semiHidden/>
    <w:unhideWhenUsed/>
    <w:rsid w:val="00705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050B72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99"/>
    <w:locked/>
    <w:rsid w:val="00050B7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48A2-4828-4B38-ABA5-2DEE8EEE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2489</Words>
  <Characters>14193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46</cp:revision>
  <dcterms:created xsi:type="dcterms:W3CDTF">2022-04-21T09:18:00Z</dcterms:created>
  <dcterms:modified xsi:type="dcterms:W3CDTF">2022-11-21T09:11:00Z</dcterms:modified>
</cp:coreProperties>
</file>